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Sorts Mill Goudy" w:cs="Sorts Mill Goudy" w:eastAsia="Sorts Mill Goudy" w:hAnsi="Sorts Mill Goudy"/>
          <w:b w:val="1"/>
          <w:sz w:val="36"/>
          <w:szCs w:val="36"/>
        </w:rPr>
      </w:pPr>
      <w:r w:rsidDel="00000000" w:rsidR="00000000" w:rsidRPr="00000000">
        <w:rPr>
          <w:b w:val="1"/>
          <w:sz w:val="36"/>
          <w:szCs w:val="36"/>
          <w:rtl w:val="0"/>
        </w:rPr>
        <w:t xml:space="preserve">Philosophy of Modernity</w:t>
      </w:r>
      <w:r w:rsidDel="00000000" w:rsidR="00000000" w:rsidRPr="00000000">
        <w:rPr>
          <w:rtl w:val="0"/>
        </w:rPr>
      </w:r>
    </w:p>
    <w:p w:rsidR="00000000" w:rsidDel="00000000" w:rsidP="00000000" w:rsidRDefault="00000000" w:rsidRPr="00000000" w14:paraId="00000002">
      <w:pPr>
        <w:spacing w:after="0" w:lineRule="auto"/>
        <w:jc w:val="center"/>
        <w:rPr>
          <w:rFonts w:ascii="Sorts Mill Goudy" w:cs="Sorts Mill Goudy" w:eastAsia="Sorts Mill Goudy" w:hAnsi="Sorts Mill Goudy"/>
          <w:sz w:val="28"/>
          <w:szCs w:val="28"/>
        </w:rPr>
      </w:pPr>
      <w:r w:rsidDel="00000000" w:rsidR="00000000" w:rsidRPr="00000000">
        <w:rPr>
          <w:sz w:val="28"/>
          <w:szCs w:val="28"/>
          <w:rtl w:val="0"/>
        </w:rPr>
        <w:t xml:space="preserve">Philosophy</w:t>
      </w:r>
      <w:r w:rsidDel="00000000" w:rsidR="00000000" w:rsidRPr="00000000">
        <w:rPr>
          <w:rtl w:val="0"/>
        </w:rPr>
      </w:r>
    </w:p>
    <w:p w:rsidR="00000000" w:rsidDel="00000000" w:rsidP="00000000" w:rsidRDefault="00000000" w:rsidRPr="00000000" w14:paraId="00000003">
      <w:pPr>
        <w:spacing w:after="0" w:lineRule="auto"/>
        <w:jc w:val="center"/>
        <w:rPr>
          <w:rFonts w:ascii="Sorts Mill Goudy" w:cs="Sorts Mill Goudy" w:eastAsia="Sorts Mill Goudy" w:hAnsi="Sorts Mill Goudy"/>
          <w:sz w:val="28"/>
          <w:szCs w:val="28"/>
        </w:rPr>
      </w:pPr>
      <w:r w:rsidDel="00000000" w:rsidR="00000000" w:rsidRPr="00000000">
        <w:rPr>
          <w:sz w:val="28"/>
          <w:szCs w:val="28"/>
          <w:rtl w:val="0"/>
        </w:rPr>
        <w:t xml:space="preserve">Summer 2024</w:t>
      </w:r>
      <w:r w:rsidDel="00000000" w:rsidR="00000000" w:rsidRPr="00000000">
        <w:rPr>
          <w:rtl w:val="0"/>
        </w:rPr>
      </w:r>
    </w:p>
    <w:p w:rsidR="00000000" w:rsidDel="00000000" w:rsidP="00000000" w:rsidRDefault="00000000" w:rsidRPr="00000000" w14:paraId="00000004">
      <w:pPr>
        <w:spacing w:after="0" w:lineRule="auto"/>
        <w:jc w:val="center"/>
        <w:rPr>
          <w:rFonts w:ascii="Sorts Mill Goudy" w:cs="Sorts Mill Goudy" w:eastAsia="Sorts Mill Goudy" w:hAnsi="Sorts Mill Goudy"/>
          <w:sz w:val="28"/>
          <w:szCs w:val="28"/>
        </w:rPr>
      </w:pPr>
      <w:r w:rsidDel="00000000" w:rsidR="00000000" w:rsidRPr="00000000">
        <w:rPr>
          <w:rFonts w:ascii="Sorts Mill Goudy" w:cs="Sorts Mill Goudy" w:eastAsia="Sorts Mill Goudy" w:hAnsi="Sorts Mill Goudy"/>
          <w:sz w:val="28"/>
          <w:szCs w:val="28"/>
          <w:rtl w:val="0"/>
        </w:rPr>
        <w:t xml:space="preserve">Teacher: </w:t>
      </w:r>
      <w:r w:rsidDel="00000000" w:rsidR="00000000" w:rsidRPr="00000000">
        <w:rPr>
          <w:sz w:val="28"/>
          <w:szCs w:val="28"/>
          <w:rtl w:val="0"/>
        </w:rPr>
        <w:t xml:space="preserve">Joseph Minich (j.minich@davenantinstitute.org)</w:t>
      </w:r>
      <w:r w:rsidDel="00000000" w:rsidR="00000000" w:rsidRPr="00000000">
        <w:rPr>
          <w:rtl w:val="0"/>
        </w:rPr>
      </w:r>
    </w:p>
    <w:p w:rsidR="00000000" w:rsidDel="00000000" w:rsidP="00000000" w:rsidRDefault="00000000" w:rsidRPr="00000000" w14:paraId="00000005">
      <w:pPr>
        <w:jc w:val="both"/>
        <w:rPr>
          <w:rFonts w:ascii="Sorts Mill Goudy" w:cs="Sorts Mill Goudy" w:eastAsia="Sorts Mill Goudy" w:hAnsi="Sorts Mill Goudy"/>
          <w:sz w:val="24"/>
          <w:szCs w:val="24"/>
        </w:rPr>
      </w:pPr>
      <w:r w:rsidDel="00000000" w:rsidR="00000000" w:rsidRPr="00000000">
        <w:rPr>
          <w:rtl w:val="0"/>
        </w:rPr>
      </w:r>
    </w:p>
    <w:p w:rsidR="00000000" w:rsidDel="00000000" w:rsidP="00000000" w:rsidRDefault="00000000" w:rsidRPr="00000000" w14:paraId="00000006">
      <w:pPr>
        <w:pStyle w:val="Heading2"/>
        <w:spacing w:after="120" w:lineRule="auto"/>
        <w:jc w:val="both"/>
        <w:rPr/>
      </w:pPr>
      <w:bookmarkStart w:colFirst="0" w:colLast="0" w:name="_heading=h.9yhudmt02vuj" w:id="0"/>
      <w:bookmarkEnd w:id="0"/>
      <w:r w:rsidDel="00000000" w:rsidR="00000000" w:rsidRPr="00000000">
        <w:rPr>
          <w:rtl w:val="0"/>
        </w:rPr>
        <w:t xml:space="preserve">Course Description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0" w:lineRule="auto"/>
        <w:ind w:firstLine="720"/>
        <w:jc w:val="both"/>
        <w:rPr/>
      </w:pPr>
      <w:r w:rsidDel="00000000" w:rsidR="00000000" w:rsidRPr="00000000">
        <w:rPr>
          <w:rtl w:val="0"/>
        </w:rPr>
        <w:t xml:space="preserve">Interpreters of our civilization often invoke something called modernity. But just what is this phenomenon? What sets apart our moment from past moments? Alternatively, are the differences between past and present overblown? Asking and answering such questions inevitably involves a reading of human beings and of the story that they’re in. In this course, we will look at how several thinkers interpret man and his story relative to the question of modernity. Our goal will be to learn from and critique these thinkers in order that we might gesture toward a more complete understanding of our civilization, as well as our task within it. Among the items discussed will be the nature of secularism, the debate over whether we live in a “disenchanted” age, the relationship between modernity and communal trust, and the role played by non-intellectual factors (technology, etc) in all of the above.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0" w:lineRule="auto"/>
        <w:ind w:firstLine="720"/>
        <w:jc w:val="both"/>
        <w:rPr>
          <w:rFonts w:ascii="Sorts Mill Goudy" w:cs="Sorts Mill Goudy" w:eastAsia="Sorts Mill Goudy" w:hAnsi="Sorts Mill Goudy"/>
          <w:color w:val="000000"/>
          <w:sz w:val="24"/>
          <w:szCs w:val="24"/>
          <w:highlight w:val="white"/>
        </w:rPr>
      </w:pPr>
      <w:r w:rsidDel="00000000" w:rsidR="00000000" w:rsidRPr="00000000">
        <w:rPr>
          <w:rtl w:val="0"/>
        </w:rPr>
      </w:r>
    </w:p>
    <w:p w:rsidR="00000000" w:rsidDel="00000000" w:rsidP="00000000" w:rsidRDefault="00000000" w:rsidRPr="00000000" w14:paraId="00000009">
      <w:pPr>
        <w:pStyle w:val="Heading2"/>
        <w:shd w:fill="ffffff" w:val="clear"/>
        <w:spacing w:after="120" w:lineRule="auto"/>
        <w:jc w:val="both"/>
        <w:rPr/>
      </w:pPr>
      <w:bookmarkStart w:colFirst="0" w:colLast="0" w:name="_heading=h.1kvjtbp8cnju" w:id="1"/>
      <w:bookmarkEnd w:id="1"/>
      <w:r w:rsidDel="00000000" w:rsidR="00000000" w:rsidRPr="00000000">
        <w:rPr>
          <w:rtl w:val="0"/>
        </w:rPr>
        <w:t xml:space="preserve">Course Format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0" w:lineRule="auto"/>
        <w:ind w:firstLine="720"/>
        <w:jc w:val="both"/>
        <w:rPr>
          <w:rFonts w:ascii="Sorts Mill Goudy" w:cs="Sorts Mill Goudy" w:eastAsia="Sorts Mill Goudy" w:hAnsi="Sorts Mill Goudy"/>
          <w:sz w:val="24"/>
          <w:szCs w:val="24"/>
        </w:rPr>
      </w:pPr>
      <w:r w:rsidDel="00000000" w:rsidR="00000000" w:rsidRPr="00000000">
        <w:rPr>
          <w:highlight w:val="white"/>
          <w:rtl w:val="0"/>
        </w:rPr>
        <w:t xml:space="preserve">The format of the course will be a roughly equivalent mix of lecture and guided discussion. It is assumed that students will come having read and engaged with the text selection for that day, and with thoughts (and critical questions) prepared to contribute. Classes will meet via </w:t>
      </w:r>
      <w:hyperlink r:id="rId7">
        <w:r w:rsidDel="00000000" w:rsidR="00000000" w:rsidRPr="00000000">
          <w:rPr>
            <w:color w:val="1155cc"/>
            <w:highlight w:val="white"/>
            <w:u w:val="single"/>
            <w:rtl w:val="0"/>
          </w:rPr>
          <w:t xml:space="preserve">Zoom</w:t>
        </w:r>
      </w:hyperlink>
      <w:r w:rsidDel="00000000" w:rsidR="00000000" w:rsidRPr="00000000">
        <w:rPr>
          <w:highlight w:val="white"/>
          <w:rtl w:val="0"/>
        </w:rPr>
        <w:t xml:space="preserve"> for two and a half hours each week and will be recorded for later viewing by students who cannot participate. Supplementary student interaction (both informal and formal) is highly encouraged, and I also aim to make myself available to you. </w:t>
      </w:r>
      <w:hyperlink r:id="rId8">
        <w:r w:rsidDel="00000000" w:rsidR="00000000" w:rsidRPr="00000000">
          <w:rPr>
            <w:color w:val="1155cc"/>
            <w:highlight w:val="white"/>
            <w:u w:val="single"/>
            <w:rtl w:val="0"/>
          </w:rPr>
          <w:t xml:space="preserve">Google Classroom</w:t>
        </w:r>
      </w:hyperlink>
      <w:r w:rsidDel="00000000" w:rsidR="00000000" w:rsidRPr="00000000">
        <w:rPr>
          <w:highlight w:val="white"/>
          <w:rtl w:val="0"/>
        </w:rPr>
        <w:t xml:space="preserve"> will be used for assignment submissions, grades, and announcements.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Rule="auto"/>
        <w:ind w:firstLine="720"/>
        <w:jc w:val="both"/>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0" w:lineRule="auto"/>
        <w:ind w:firstLine="720"/>
        <w:jc w:val="both"/>
        <w:rPr>
          <w:rFonts w:ascii="Sorts Mill Goudy" w:cs="Sorts Mill Goudy" w:eastAsia="Sorts Mill Goudy" w:hAnsi="Sorts Mill Goudy"/>
          <w:color w:val="000000"/>
          <w:sz w:val="24"/>
          <w:szCs w:val="24"/>
          <w:highlight w:val="white"/>
        </w:rPr>
      </w:pPr>
      <w:r w:rsidDel="00000000" w:rsidR="00000000" w:rsidRPr="00000000">
        <w:rPr>
          <w:rtl w:val="0"/>
        </w:rPr>
      </w:r>
    </w:p>
    <w:p w:rsidR="00000000" w:rsidDel="00000000" w:rsidP="00000000" w:rsidRDefault="00000000" w:rsidRPr="00000000" w14:paraId="0000000D">
      <w:pPr>
        <w:pStyle w:val="Heading2"/>
        <w:spacing w:after="120" w:lineRule="auto"/>
        <w:jc w:val="both"/>
        <w:rPr>
          <w:u w:val="single"/>
        </w:rPr>
      </w:pPr>
      <w:bookmarkStart w:colFirst="0" w:colLast="0" w:name="_heading=h.eixpdxwzrdb" w:id="2"/>
      <w:bookmarkEnd w:id="2"/>
      <w:r w:rsidDel="00000000" w:rsidR="00000000" w:rsidRPr="00000000">
        <w:rPr>
          <w:u w:val="single"/>
          <w:rtl w:val="0"/>
        </w:rPr>
        <w:t xml:space="preserve">Course Objectives: </w:t>
      </w:r>
    </w:p>
    <w:p w:rsidR="00000000" w:rsidDel="00000000" w:rsidP="00000000" w:rsidRDefault="00000000" w:rsidRPr="00000000" w14:paraId="0000000E">
      <w:pPr>
        <w:ind w:firstLine="720"/>
        <w:jc w:val="both"/>
        <w:rPr>
          <w:rFonts w:ascii="Sorts Mill Goudy" w:cs="Sorts Mill Goudy" w:eastAsia="Sorts Mill Goudy" w:hAnsi="Sorts Mill Goudy"/>
          <w:sz w:val="24"/>
          <w:szCs w:val="24"/>
        </w:rPr>
      </w:pPr>
      <w:r w:rsidDel="00000000" w:rsidR="00000000" w:rsidRPr="00000000">
        <w:rPr>
          <w:rtl w:val="0"/>
        </w:rPr>
        <w:t xml:space="preserve">This course aims (1) to introduce students to the substance and interpretation of modernity, (2) to dialogically engage, learn from, and help train students in the art of thinking well, and (3) to encourage students concerning the veracity of the Christian faith by means of an expanded (rather than calcified) imagination.</w:t>
      </w:r>
      <w:r w:rsidDel="00000000" w:rsidR="00000000" w:rsidRPr="00000000">
        <w:rPr>
          <w:rtl w:val="0"/>
        </w:rPr>
      </w:r>
    </w:p>
    <w:p w:rsidR="00000000" w:rsidDel="00000000" w:rsidP="00000000" w:rsidRDefault="00000000" w:rsidRPr="00000000" w14:paraId="0000000F">
      <w:pPr>
        <w:pStyle w:val="Heading2"/>
        <w:ind w:firstLine="720"/>
        <w:jc w:val="both"/>
        <w:rPr/>
      </w:pPr>
      <w:bookmarkStart w:colFirst="0" w:colLast="0" w:name="_heading=h.c1kxuufamays" w:id="3"/>
      <w:bookmarkEnd w:id="3"/>
      <w:r w:rsidDel="00000000" w:rsidR="00000000" w:rsidRPr="00000000">
        <w:rPr>
          <w:u w:val="single"/>
          <w:rtl w:val="0"/>
        </w:rPr>
        <w:br w:type="textWrapping"/>
        <w:t xml:space="preserve">Course Requirements::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i w:val="1"/>
          <w:rtl w:val="0"/>
        </w:rPr>
        <w:t xml:space="preserve">Class Participation (20%): </w:t>
      </w:r>
      <w:r w:rsidDel="00000000" w:rsidR="00000000" w:rsidRPr="00000000">
        <w:rPr>
          <w:rtl w:val="0"/>
        </w:rPr>
        <w:t xml:space="preserve">Attentive and sustained participation in class is the primary requirement. For-credit students may have two excused absences. </w:t>
      </w:r>
    </w:p>
    <w:p w:rsidR="00000000" w:rsidDel="00000000" w:rsidP="00000000" w:rsidRDefault="00000000" w:rsidRPr="00000000" w14:paraId="00000011">
      <w:pPr>
        <w:rPr/>
      </w:pPr>
      <w:r w:rsidDel="00000000" w:rsidR="00000000" w:rsidRPr="00000000">
        <w:rPr>
          <w:i w:val="1"/>
          <w:rtl w:val="0"/>
        </w:rPr>
        <w:t xml:space="preserve">Reading (40%): </w:t>
      </w:r>
      <w:r w:rsidDel="00000000" w:rsidR="00000000" w:rsidRPr="00000000">
        <w:rPr>
          <w:rtl w:val="0"/>
        </w:rPr>
        <w:t xml:space="preserve">Students will be asked the percentage of reading they were able to accomplish. </w:t>
      </w:r>
    </w:p>
    <w:p w:rsidR="00000000" w:rsidDel="00000000" w:rsidP="00000000" w:rsidRDefault="00000000" w:rsidRPr="00000000" w14:paraId="00000012">
      <w:pPr>
        <w:rPr/>
      </w:pPr>
      <w:r w:rsidDel="00000000" w:rsidR="00000000" w:rsidRPr="00000000">
        <w:rPr>
          <w:i w:val="1"/>
          <w:rtl w:val="0"/>
        </w:rPr>
        <w:t xml:space="preserve">Writing (40%)</w:t>
      </w:r>
      <w:r w:rsidDel="00000000" w:rsidR="00000000" w:rsidRPr="00000000">
        <w:rPr>
          <w:rtl w:val="0"/>
        </w:rPr>
        <w:t xml:space="preserve">: 3,000-4,000 word research paper due the last day of class. </w:t>
      </w:r>
      <w:r w:rsidDel="00000000" w:rsidR="00000000" w:rsidRPr="00000000">
        <w:rPr>
          <w:b w:val="1"/>
          <w:rtl w:val="0"/>
        </w:rPr>
        <w:t xml:space="preserve">A proposal is due on the 5th class period. </w:t>
      </w:r>
      <w:r w:rsidDel="00000000" w:rsidR="00000000" w:rsidRPr="00000000">
        <w:rPr>
          <w:rtl w:val="0"/>
        </w:rPr>
        <w:t xml:space="preserve">More specific instructions will be given in class.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jc w:val="both"/>
        <w:rPr/>
      </w:pPr>
      <w:bookmarkStart w:colFirst="0" w:colLast="0" w:name="_heading=h.i16vbekzzer5" w:id="4"/>
      <w:bookmarkEnd w:id="4"/>
      <w:r w:rsidDel="00000000" w:rsidR="00000000" w:rsidRPr="00000000">
        <w:rPr>
          <w:rtl w:val="0"/>
        </w:rPr>
        <w:t xml:space="preserve">Grading Scale</w:t>
      </w:r>
    </w:p>
    <w:p w:rsidR="00000000" w:rsidDel="00000000" w:rsidP="00000000" w:rsidRDefault="00000000" w:rsidRPr="00000000" w14:paraId="00000015">
      <w:pPr>
        <w:spacing w:after="0" w:lineRule="auto"/>
        <w:rPr/>
      </w:pPr>
      <w:r w:rsidDel="00000000" w:rsidR="00000000" w:rsidRPr="00000000">
        <w:rPr>
          <w:rtl w:val="0"/>
        </w:rPr>
        <w:t xml:space="preserve">Include the following grading scale:</w:t>
      </w:r>
    </w:p>
    <w:p w:rsidR="00000000" w:rsidDel="00000000" w:rsidP="00000000" w:rsidRDefault="00000000" w:rsidRPr="00000000" w14:paraId="00000016">
      <w:pPr>
        <w:spacing w:after="0" w:line="240" w:lineRule="auto"/>
        <w:ind w:left="720" w:firstLine="0"/>
        <w:rPr/>
      </w:pPr>
      <w:r w:rsidDel="00000000" w:rsidR="00000000" w:rsidRPr="00000000">
        <w:rPr>
          <w:rtl w:val="0"/>
        </w:rPr>
        <w:t xml:space="preserve">A</w:t>
        <w:tab/>
        <w:t xml:space="preserve">93–100%</w:t>
      </w:r>
    </w:p>
    <w:p w:rsidR="00000000" w:rsidDel="00000000" w:rsidP="00000000" w:rsidRDefault="00000000" w:rsidRPr="00000000" w14:paraId="00000017">
      <w:pPr>
        <w:spacing w:after="0" w:line="240" w:lineRule="auto"/>
        <w:ind w:left="720" w:firstLine="0"/>
        <w:rPr/>
      </w:pPr>
      <w:r w:rsidDel="00000000" w:rsidR="00000000" w:rsidRPr="00000000">
        <w:rPr>
          <w:rtl w:val="0"/>
        </w:rPr>
        <w:t xml:space="preserve">A-</w:t>
        <w:tab/>
        <w:t xml:space="preserve">90–92.99%</w:t>
      </w:r>
    </w:p>
    <w:p w:rsidR="00000000" w:rsidDel="00000000" w:rsidP="00000000" w:rsidRDefault="00000000" w:rsidRPr="00000000" w14:paraId="00000018">
      <w:pPr>
        <w:spacing w:after="0" w:line="240" w:lineRule="auto"/>
        <w:ind w:left="720" w:firstLine="0"/>
        <w:rPr/>
      </w:pPr>
      <w:r w:rsidDel="00000000" w:rsidR="00000000" w:rsidRPr="00000000">
        <w:rPr>
          <w:rtl w:val="0"/>
        </w:rPr>
        <w:t xml:space="preserve">B+</w:t>
        <w:tab/>
        <w:t xml:space="preserve">87–89.99%</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B</w:t>
        <w:tab/>
        <w:t xml:space="preserve">83–86.99%</w:t>
      </w:r>
    </w:p>
    <w:p w:rsidR="00000000" w:rsidDel="00000000" w:rsidP="00000000" w:rsidRDefault="00000000" w:rsidRPr="00000000" w14:paraId="0000001A">
      <w:pPr>
        <w:spacing w:after="0" w:line="240" w:lineRule="auto"/>
        <w:ind w:left="720" w:firstLine="0"/>
        <w:rPr/>
      </w:pPr>
      <w:r w:rsidDel="00000000" w:rsidR="00000000" w:rsidRPr="00000000">
        <w:rPr>
          <w:rtl w:val="0"/>
        </w:rPr>
        <w:t xml:space="preserve">B-</w:t>
        <w:tab/>
        <w:t xml:space="preserve">80–82.9%</w:t>
      </w:r>
    </w:p>
    <w:p w:rsidR="00000000" w:rsidDel="00000000" w:rsidP="00000000" w:rsidRDefault="00000000" w:rsidRPr="00000000" w14:paraId="0000001B">
      <w:pPr>
        <w:spacing w:after="0" w:line="240" w:lineRule="auto"/>
        <w:ind w:left="720" w:firstLine="0"/>
        <w:rPr/>
      </w:pPr>
      <w:r w:rsidDel="00000000" w:rsidR="00000000" w:rsidRPr="00000000">
        <w:rPr>
          <w:rtl w:val="0"/>
        </w:rPr>
        <w:t xml:space="preserve">C+</w:t>
        <w:tab/>
        <w:t xml:space="preserve">77–79.99%</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C</w:t>
        <w:tab/>
        <w:t xml:space="preserve">73–76.99%</w:t>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C-</w:t>
        <w:tab/>
        <w:t xml:space="preserve">70–72.99%</w:t>
      </w:r>
    </w:p>
    <w:p w:rsidR="00000000" w:rsidDel="00000000" w:rsidP="00000000" w:rsidRDefault="00000000" w:rsidRPr="00000000" w14:paraId="0000001E">
      <w:pPr>
        <w:spacing w:after="0" w:line="240" w:lineRule="auto"/>
        <w:ind w:left="720" w:firstLine="0"/>
        <w:rPr/>
      </w:pPr>
      <w:r w:rsidDel="00000000" w:rsidR="00000000" w:rsidRPr="00000000">
        <w:rPr>
          <w:rtl w:val="0"/>
        </w:rPr>
        <w:t xml:space="preserve">D+</w:t>
        <w:tab/>
        <w:t xml:space="preserve">67–69.99%</w:t>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D</w:t>
        <w:tab/>
        <w:t xml:space="preserve">63–66.99%</w:t>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D-</w:t>
        <w:tab/>
        <w:t xml:space="preserve">60–62.99%</w:t>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F</w:t>
        <w:tab/>
        <w:t xml:space="preserve">59.99% or less</w:t>
      </w:r>
    </w:p>
    <w:p w:rsidR="00000000" w:rsidDel="00000000" w:rsidP="00000000" w:rsidRDefault="00000000" w:rsidRPr="00000000" w14:paraId="00000022">
      <w:pPr>
        <w:spacing w:after="0" w:line="240" w:lineRule="auto"/>
        <w:ind w:left="720" w:firstLine="0"/>
        <w:rPr/>
      </w:pPr>
      <w:r w:rsidDel="00000000" w:rsidR="00000000" w:rsidRPr="00000000">
        <w:rPr>
          <w:rtl w:val="0"/>
        </w:rPr>
      </w:r>
    </w:p>
    <w:p w:rsidR="00000000" w:rsidDel="00000000" w:rsidP="00000000" w:rsidRDefault="00000000" w:rsidRPr="00000000" w14:paraId="00000023">
      <w:pPr>
        <w:spacing w:after="0" w:line="240" w:lineRule="auto"/>
        <w:ind w:left="0" w:firstLine="0"/>
        <w:rPr/>
      </w:pPr>
      <w:r w:rsidDel="00000000" w:rsidR="00000000" w:rsidRPr="00000000">
        <w:rPr>
          <w:rtl w:val="0"/>
        </w:rPr>
        <w:t xml:space="preserve">Or…</w:t>
      </w:r>
    </w:p>
    <w:p w:rsidR="00000000" w:rsidDel="00000000" w:rsidP="00000000" w:rsidRDefault="00000000" w:rsidRPr="00000000" w14:paraId="00000024">
      <w:pPr>
        <w:spacing w:line="240" w:lineRule="auto"/>
        <w:jc w:val="left"/>
        <w:rPr>
          <w:rFonts w:ascii="Times New Roman" w:cs="Times New Roman" w:eastAsia="Times New Roman" w:hAnsi="Times New Roman"/>
          <w:sz w:val="20"/>
          <w:szCs w:val="20"/>
        </w:rPr>
      </w:pPr>
      <w:r w:rsidDel="00000000" w:rsidR="00000000" w:rsidRPr="00000000">
        <w:rPr>
          <w:rtl w:val="0"/>
        </w:rPr>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840"/>
        <w:gridCol w:w="840"/>
        <w:gridCol w:w="840"/>
        <w:gridCol w:w="840"/>
        <w:gridCol w:w="840"/>
        <w:gridCol w:w="840"/>
        <w:gridCol w:w="840"/>
        <w:gridCol w:w="840"/>
        <w:gridCol w:w="840"/>
        <w:gridCol w:w="840"/>
        <w:gridCol w:w="840"/>
        <w:tblGridChange w:id="0">
          <w:tblGrid>
            <w:gridCol w:w="840"/>
            <w:gridCol w:w="840"/>
            <w:gridCol w:w="840"/>
            <w:gridCol w:w="840"/>
            <w:gridCol w:w="840"/>
            <w:gridCol w:w="840"/>
            <w:gridCol w:w="840"/>
            <w:gridCol w:w="840"/>
            <w:gridCol w:w="840"/>
            <w:gridCol w:w="840"/>
            <w:gridCol w:w="840"/>
            <w:gridCol w:w="840"/>
          </w:tblGrid>
        </w:tblGridChange>
      </w:tblGrid>
      <w:tr>
        <w:trPr>
          <w:cantSplit w:val="0"/>
          <w:trHeight w:val="20" w:hRule="atLeast"/>
          <w:tblHeader w:val="0"/>
        </w:trPr>
        <w:tc>
          <w:tcPr>
            <w:tcBorders>
              <w:top w:color="000000" w:space="0" w:sz="0" w:val="nil"/>
              <w:left w:color="000000" w:space="0" w:sz="0" w:val="nil"/>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w:t>
            </w:r>
          </w:p>
        </w:tc>
        <w:tc>
          <w:tcPr>
            <w:tcBorders>
              <w:top w:color="000000" w:space="0" w:sz="0" w:val="nil"/>
              <w:left w:color="000000" w:space="0" w:sz="16" w:val="single"/>
              <w:bottom w:color="000000" w:space="0" w:sz="16" w:val="single"/>
              <w:right w:color="000000" w:space="0" w:sz="16" w:val="single"/>
            </w:tcBorders>
            <w:tcMar>
              <w:top w:w="0.0" w:type="dxa"/>
              <w:left w:w="0.0" w:type="dxa"/>
              <w:bottom w:w="0.0" w:type="dxa"/>
              <w:right w:w="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w:t>
            </w:r>
          </w:p>
        </w:tc>
        <w:tc>
          <w:tcPr>
            <w:tcBorders>
              <w:top w:color="000000" w:space="0" w:sz="0" w:val="nil"/>
              <w:left w:color="000000" w:space="0" w:sz="16" w:val="single"/>
              <w:bottom w:color="000000" w:space="0" w:sz="1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w:t>
            </w:r>
          </w:p>
        </w:tc>
      </w:tr>
      <w:tr>
        <w:trPr>
          <w:cantSplit w:val="0"/>
          <w:trHeight w:val="20" w:hRule="atLeast"/>
          <w:tblHeader w:val="0"/>
        </w:trPr>
        <w:tc>
          <w:tcPr>
            <w:tcBorders>
              <w:top w:color="000000" w:space="0" w:sz="16" w:val="single"/>
              <w:left w:color="000000" w:space="0" w:sz="0" w:val="nil"/>
              <w:bottom w:color="000000" w:space="0" w:sz="0" w:val="nil"/>
            </w:tcBorders>
            <w:tcMar>
              <w:top w:w="0.0" w:type="dxa"/>
              <w:left w:w="0.0" w:type="dxa"/>
              <w:bottom w:w="0.0" w:type="dxa"/>
              <w:right w:w="0.0" w:type="dxa"/>
            </w:tcMar>
            <w:vAlign w:val="top"/>
          </w:tcPr>
          <w:p w:rsidR="00000000" w:rsidDel="00000000" w:rsidP="00000000" w:rsidRDefault="00000000" w:rsidRPr="00000000" w14:paraId="00000031">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3            9</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0            8</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7            8</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3            8</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0            7</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7            7</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3            7</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0            6</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7            6</w:t>
            </w:r>
          </w:p>
        </w:tc>
        <w:tc>
          <w:tcPr>
            <w:tcBorders>
              <w:top w:color="000000" w:space="0" w:sz="16" w:val="single"/>
              <w:bottom w:color="000000" w:space="0" w:sz="0" w:val="nil"/>
            </w:tcBorders>
            <w:tcMar>
              <w:top w:w="0.0" w:type="dxa"/>
              <w:left w:w="0.0" w:type="dxa"/>
              <w:bottom w:w="0.0" w:type="dxa"/>
              <w:right w:w="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3            6</w:t>
            </w:r>
          </w:p>
        </w:tc>
        <w:tc>
          <w:tcPr>
            <w:tcBorders>
              <w:top w:color="000000" w:space="0" w:sz="1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C">
            <w:pPr>
              <w:widowControl w:val="0"/>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bl>
    <w:p w:rsidR="00000000" w:rsidDel="00000000" w:rsidP="00000000" w:rsidRDefault="00000000" w:rsidRPr="00000000" w14:paraId="0000003D">
      <w:pPr>
        <w:pStyle w:val="Heading2"/>
        <w:spacing w:before="400" w:line="276" w:lineRule="auto"/>
        <w:jc w:val="both"/>
        <w:rPr/>
      </w:pPr>
      <w:bookmarkStart w:colFirst="0" w:colLast="0" w:name="_heading=h.ew7g9j41qm22" w:id="5"/>
      <w:bookmarkEnd w:id="5"/>
      <w:r w:rsidDel="00000000" w:rsidR="00000000" w:rsidRPr="00000000">
        <w:rPr>
          <w:rtl w:val="0"/>
        </w:rPr>
        <w:t xml:space="preserve">Auditing</w:t>
      </w:r>
    </w:p>
    <w:p w:rsidR="00000000" w:rsidDel="00000000" w:rsidP="00000000" w:rsidRDefault="00000000" w:rsidRPr="00000000" w14:paraId="0000003E">
      <w:pPr>
        <w:rPr/>
      </w:pPr>
      <w:r w:rsidDel="00000000" w:rsidR="00000000" w:rsidRPr="00000000">
        <w:rPr>
          <w:rtl w:val="0"/>
        </w:rPr>
        <w:t xml:space="preserve">Auditors are not required to attend class live or submit assignments, but may participate in Zoom meetings, Discord, Google Classroom, and access recordings. If the time does not work for you, you can switch to auditing or to another course. See the drop/switch policy on the Course Catalog or </w:t>
      </w:r>
      <w:hyperlink r:id="rId9">
        <w:r w:rsidDel="00000000" w:rsidR="00000000" w:rsidRPr="00000000">
          <w:rPr>
            <w:color w:val="1155cc"/>
            <w:u w:val="single"/>
            <w:rtl w:val="0"/>
          </w:rPr>
          <w:t xml:space="preserve">M.Litt. FAQ</w:t>
        </w:r>
      </w:hyperlink>
      <w:r w:rsidDel="00000000" w:rsidR="00000000" w:rsidRPr="00000000">
        <w:rPr>
          <w:rtl w:val="0"/>
        </w:rPr>
        <w:t xml:space="preserve">. Students are entitled to a full refund if the chosen time does not work for them. Please email Julia Thiele at </w:t>
      </w:r>
      <w:hyperlink r:id="rId10">
        <w:r w:rsidDel="00000000" w:rsidR="00000000" w:rsidRPr="00000000">
          <w:rPr>
            <w:color w:val="1155cc"/>
            <w:u w:val="single"/>
            <w:rtl w:val="0"/>
          </w:rPr>
          <w:t xml:space="preserve">j.thiele@davenantinstitute.org</w:t>
        </w:r>
      </w:hyperlink>
      <w:r w:rsidDel="00000000" w:rsidR="00000000" w:rsidRPr="00000000">
        <w:rPr>
          <w:rtl w:val="0"/>
        </w:rPr>
        <w:t xml:space="preserve"> with any changes, requests, or questions.</w:t>
      </w:r>
    </w:p>
    <w:p w:rsidR="00000000" w:rsidDel="00000000" w:rsidP="00000000" w:rsidRDefault="00000000" w:rsidRPr="00000000" w14:paraId="0000003F">
      <w:pPr>
        <w:pStyle w:val="Heading2"/>
        <w:jc w:val="both"/>
        <w:rPr>
          <w:sz w:val="24"/>
          <w:szCs w:val="24"/>
        </w:rPr>
      </w:pPr>
      <w:bookmarkStart w:colFirst="0" w:colLast="0" w:name="_heading=h.8ybvdbom9afh" w:id="6"/>
      <w:bookmarkEnd w:id="6"/>
      <w:r w:rsidDel="00000000" w:rsidR="00000000" w:rsidRPr="00000000">
        <w:rPr>
          <w:b w:val="1"/>
          <w:u w:val="single"/>
          <w:rtl w:val="0"/>
        </w:rPr>
        <w:t xml:space="preserve">Course Texts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20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Crawford, Matthew. "Algorithmic Governance and Political Legitimacy" in </w:t>
      </w:r>
      <w:r w:rsidDel="00000000" w:rsidR="00000000" w:rsidRPr="00000000">
        <w:rPr>
          <w:rFonts w:ascii="Times New Roman" w:cs="Times New Roman" w:eastAsia="Times New Roman" w:hAnsi="Times New Roman"/>
          <w:i w:val="1"/>
          <w:rtl w:val="0"/>
        </w:rPr>
        <w:t xml:space="preserve">American Affairs </w:t>
      </w:r>
    </w:p>
    <w:p w:rsidR="00000000" w:rsidDel="00000000" w:rsidP="00000000" w:rsidRDefault="00000000" w:rsidRPr="00000000" w14:paraId="00000042">
      <w:pPr>
        <w:spacing w:after="20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Journal</w:t>
      </w:r>
      <w:r w:rsidDel="00000000" w:rsidR="00000000" w:rsidRPr="00000000">
        <w:rPr>
          <w:rFonts w:ascii="Times New Roman" w:cs="Times New Roman" w:eastAsia="Times New Roman" w:hAnsi="Times New Roman"/>
          <w:rtl w:val="0"/>
        </w:rPr>
        <w:t xml:space="preserve"> (PDF). </w:t>
      </w:r>
    </w:p>
    <w:p w:rsidR="00000000" w:rsidDel="00000000" w:rsidP="00000000" w:rsidRDefault="00000000" w:rsidRPr="00000000" w14:paraId="00000043">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Giddens, Anthony. </w:t>
      </w:r>
      <w:r w:rsidDel="00000000" w:rsidR="00000000" w:rsidRPr="00000000">
        <w:rPr>
          <w:rFonts w:ascii="Times New Roman" w:cs="Times New Roman" w:eastAsia="Times New Roman" w:hAnsi="Times New Roman"/>
          <w:i w:val="1"/>
          <w:rtl w:val="0"/>
        </w:rPr>
        <w:t xml:space="preserve">The Consequences of Modernity</w:t>
      </w:r>
      <w:r w:rsidDel="00000000" w:rsidR="00000000" w:rsidRPr="00000000">
        <w:rPr>
          <w:rFonts w:ascii="Times New Roman" w:cs="Times New Roman" w:eastAsia="Times New Roman" w:hAnsi="Times New Roman"/>
          <w:rtl w:val="0"/>
        </w:rPr>
        <w:t xml:space="preserve"> (Stanford: Stanford University Press, 1990). </w:t>
      </w:r>
    </w:p>
    <w:p w:rsidR="00000000" w:rsidDel="00000000" w:rsidP="00000000" w:rsidRDefault="00000000" w:rsidRPr="00000000" w14:paraId="00000044">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Heidegger, Martin. "The Question Concerning Technology" in </w:t>
      </w:r>
      <w:r w:rsidDel="00000000" w:rsidR="00000000" w:rsidRPr="00000000">
        <w:rPr>
          <w:rFonts w:ascii="Times New Roman" w:cs="Times New Roman" w:eastAsia="Times New Roman" w:hAnsi="Times New Roman"/>
          <w:i w:val="1"/>
          <w:rtl w:val="0"/>
        </w:rPr>
        <w:t xml:space="preserve">Basic Writings</w:t>
      </w:r>
      <w:r w:rsidDel="00000000" w:rsidR="00000000" w:rsidRPr="00000000">
        <w:rPr>
          <w:rFonts w:ascii="Times New Roman" w:cs="Times New Roman" w:eastAsia="Times New Roman" w:hAnsi="Times New Roman"/>
          <w:rtl w:val="0"/>
        </w:rPr>
        <w:t xml:space="preserve"> (PDF). </w:t>
      </w:r>
    </w:p>
    <w:p w:rsidR="00000000" w:rsidDel="00000000" w:rsidP="00000000" w:rsidRDefault="00000000" w:rsidRPr="00000000" w14:paraId="00000045">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Marx, Karl. "Estranged Labor," in </w:t>
      </w:r>
      <w:r w:rsidDel="00000000" w:rsidR="00000000" w:rsidRPr="00000000">
        <w:rPr>
          <w:rFonts w:ascii="Times New Roman" w:cs="Times New Roman" w:eastAsia="Times New Roman" w:hAnsi="Times New Roman"/>
          <w:i w:val="1"/>
          <w:rtl w:val="0"/>
        </w:rPr>
        <w:t xml:space="preserve">Economic and Philosophical Manuscripts of 1844</w:t>
      </w:r>
      <w:r w:rsidDel="00000000" w:rsidR="00000000" w:rsidRPr="00000000">
        <w:rPr>
          <w:rFonts w:ascii="Times New Roman" w:cs="Times New Roman" w:eastAsia="Times New Roman" w:hAnsi="Times New Roman"/>
          <w:rtl w:val="0"/>
        </w:rPr>
        <w:t xml:space="preserve"> (PDF). </w:t>
      </w:r>
    </w:p>
    <w:p w:rsidR="00000000" w:rsidDel="00000000" w:rsidP="00000000" w:rsidRDefault="00000000" w:rsidRPr="00000000" w14:paraId="00000046">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Minich, Joseph. </w:t>
      </w:r>
      <w:r w:rsidDel="00000000" w:rsidR="00000000" w:rsidRPr="00000000">
        <w:rPr>
          <w:rFonts w:ascii="Times New Roman" w:cs="Times New Roman" w:eastAsia="Times New Roman" w:hAnsi="Times New Roman"/>
          <w:i w:val="1"/>
          <w:rtl w:val="0"/>
        </w:rPr>
        <w:t xml:space="preserve">Bulwarks of Unbelief: Atheism and Divine Absence in a Secular 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after="200"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(Bellingham: Lexham Academic, 2023). </w:t>
      </w:r>
    </w:p>
    <w:p w:rsidR="00000000" w:rsidDel="00000000" w:rsidP="00000000" w:rsidRDefault="00000000" w:rsidRPr="00000000" w14:paraId="00000048">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Sacasas, L.M. "The Analog City and the Digital City" in </w:t>
      </w:r>
      <w:r w:rsidDel="00000000" w:rsidR="00000000" w:rsidRPr="00000000">
        <w:rPr>
          <w:rFonts w:ascii="Times New Roman" w:cs="Times New Roman" w:eastAsia="Times New Roman" w:hAnsi="Times New Roman"/>
          <w:i w:val="1"/>
          <w:rtl w:val="0"/>
        </w:rPr>
        <w:t xml:space="preserve">The New Atlantis</w:t>
      </w:r>
      <w:r w:rsidDel="00000000" w:rsidR="00000000" w:rsidRPr="00000000">
        <w:rPr>
          <w:rFonts w:ascii="Times New Roman" w:cs="Times New Roman" w:eastAsia="Times New Roman" w:hAnsi="Times New Roman"/>
          <w:rtl w:val="0"/>
        </w:rPr>
        <w:t xml:space="preserve"> (PDF). </w:t>
      </w:r>
    </w:p>
    <w:p w:rsidR="00000000" w:rsidDel="00000000" w:rsidP="00000000" w:rsidRDefault="00000000" w:rsidRPr="00000000" w14:paraId="00000049">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Taylor, Charles. </w:t>
      </w:r>
      <w:r w:rsidDel="00000000" w:rsidR="00000000" w:rsidRPr="00000000">
        <w:rPr>
          <w:rFonts w:ascii="Times New Roman" w:cs="Times New Roman" w:eastAsia="Times New Roman" w:hAnsi="Times New Roman"/>
          <w:i w:val="1"/>
          <w:rtl w:val="0"/>
        </w:rPr>
        <w:t xml:space="preserve">Modern Social Imaginaries</w:t>
      </w:r>
      <w:r w:rsidDel="00000000" w:rsidR="00000000" w:rsidRPr="00000000">
        <w:rPr>
          <w:rFonts w:ascii="Times New Roman" w:cs="Times New Roman" w:eastAsia="Times New Roman" w:hAnsi="Times New Roman"/>
          <w:rtl w:val="0"/>
        </w:rPr>
        <w:t xml:space="preserve"> (Durham: Duke University Press, 2003).</w:t>
      </w:r>
    </w:p>
    <w:p w:rsidR="00000000" w:rsidDel="00000000" w:rsidP="00000000" w:rsidRDefault="00000000" w:rsidRPr="00000000" w14:paraId="0000004A">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B">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Style w:val="Heading2"/>
        <w:jc w:val="both"/>
        <w:rPr>
          <w:rFonts w:ascii="Sorts Mill Goudy" w:cs="Sorts Mill Goudy" w:eastAsia="Sorts Mill Goudy" w:hAnsi="Sorts Mill Goudy"/>
          <w:sz w:val="26"/>
          <w:szCs w:val="26"/>
        </w:rPr>
      </w:pPr>
      <w:bookmarkStart w:colFirst="0" w:colLast="0" w:name="_heading=h.d4mmautodmln" w:id="7"/>
      <w:bookmarkEnd w:id="7"/>
      <w:r w:rsidDel="00000000" w:rsidR="00000000" w:rsidRPr="00000000">
        <w:rPr>
          <w:rtl w:val="0"/>
        </w:rPr>
        <w:t xml:space="preserve">Course Schedule</w:t>
      </w:r>
      <w:r w:rsidDel="00000000" w:rsidR="00000000" w:rsidRPr="00000000">
        <w:rPr>
          <w:rtl w:val="0"/>
        </w:rPr>
      </w:r>
    </w:p>
    <w:tbl>
      <w:tblPr>
        <w:tblStyle w:val="Table2"/>
        <w:tblW w:w="9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2025"/>
        <w:gridCol w:w="3465"/>
        <w:gridCol w:w="3240"/>
        <w:tblGridChange w:id="0">
          <w:tblGrid>
            <w:gridCol w:w="900"/>
            <w:gridCol w:w="2025"/>
            <w:gridCol w:w="3465"/>
            <w:gridCol w:w="3240"/>
          </w:tblGrid>
        </w:tblGridChange>
      </w:tblGrid>
      <w:tr>
        <w:trPr>
          <w:cantSplit w:val="0"/>
          <w:tblHeader w:val="0"/>
        </w:trPr>
        <w:tc>
          <w:tcPr/>
          <w:p w:rsidR="00000000" w:rsidDel="00000000" w:rsidP="00000000" w:rsidRDefault="00000000" w:rsidRPr="00000000" w14:paraId="0000004D">
            <w:pPr>
              <w:jc w:val="center"/>
              <w:rPr>
                <w:rFonts w:ascii="Sorts Mill Goudy" w:cs="Sorts Mill Goudy" w:eastAsia="Sorts Mill Goudy" w:hAnsi="Sorts Mill Goudy"/>
                <w:b w:val="1"/>
                <w:sz w:val="24"/>
                <w:szCs w:val="24"/>
              </w:rPr>
            </w:pPr>
            <w:r w:rsidDel="00000000" w:rsidR="00000000" w:rsidRPr="00000000">
              <w:rPr>
                <w:rFonts w:ascii="Sorts Mill Goudy" w:cs="Sorts Mill Goudy" w:eastAsia="Sorts Mill Goudy" w:hAnsi="Sorts Mill Goudy"/>
                <w:b w:val="1"/>
                <w:sz w:val="24"/>
                <w:szCs w:val="24"/>
                <w:rtl w:val="0"/>
              </w:rPr>
              <w:t xml:space="preserve">Week</w:t>
            </w:r>
          </w:p>
        </w:tc>
        <w:tc>
          <w:tcPr/>
          <w:p w:rsidR="00000000" w:rsidDel="00000000" w:rsidP="00000000" w:rsidRDefault="00000000" w:rsidRPr="00000000" w14:paraId="0000004E">
            <w:pPr>
              <w:jc w:val="center"/>
              <w:rPr>
                <w:rFonts w:ascii="Sorts Mill Goudy" w:cs="Sorts Mill Goudy" w:eastAsia="Sorts Mill Goudy" w:hAnsi="Sorts Mill Goudy"/>
                <w:b w:val="1"/>
                <w:sz w:val="24"/>
                <w:szCs w:val="24"/>
              </w:rPr>
            </w:pPr>
            <w:r w:rsidDel="00000000" w:rsidR="00000000" w:rsidRPr="00000000">
              <w:rPr>
                <w:rFonts w:ascii="Sorts Mill Goudy" w:cs="Sorts Mill Goudy" w:eastAsia="Sorts Mill Goudy" w:hAnsi="Sorts Mill Goudy"/>
                <w:b w:val="1"/>
                <w:sz w:val="24"/>
                <w:szCs w:val="24"/>
                <w:rtl w:val="0"/>
              </w:rPr>
              <w:t xml:space="preserve">Dates</w:t>
            </w:r>
          </w:p>
        </w:tc>
        <w:tc>
          <w:tcPr/>
          <w:p w:rsidR="00000000" w:rsidDel="00000000" w:rsidP="00000000" w:rsidRDefault="00000000" w:rsidRPr="00000000" w14:paraId="0000004F">
            <w:pPr>
              <w:jc w:val="center"/>
              <w:rPr>
                <w:rFonts w:ascii="Sorts Mill Goudy" w:cs="Sorts Mill Goudy" w:eastAsia="Sorts Mill Goudy" w:hAnsi="Sorts Mill Goudy"/>
                <w:b w:val="1"/>
                <w:sz w:val="24"/>
                <w:szCs w:val="24"/>
              </w:rPr>
            </w:pPr>
            <w:r w:rsidDel="00000000" w:rsidR="00000000" w:rsidRPr="00000000">
              <w:rPr>
                <w:rFonts w:ascii="Sorts Mill Goudy" w:cs="Sorts Mill Goudy" w:eastAsia="Sorts Mill Goudy" w:hAnsi="Sorts Mill Goudy"/>
                <w:b w:val="1"/>
                <w:sz w:val="24"/>
                <w:szCs w:val="24"/>
                <w:rtl w:val="0"/>
              </w:rPr>
              <w:t xml:space="preserve">Key Topic</w:t>
            </w:r>
          </w:p>
        </w:tc>
        <w:tc>
          <w:tcPr/>
          <w:p w:rsidR="00000000" w:rsidDel="00000000" w:rsidP="00000000" w:rsidRDefault="00000000" w:rsidRPr="00000000" w14:paraId="00000050">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b w:val="1"/>
                <w:sz w:val="24"/>
                <w:szCs w:val="24"/>
                <w:rtl w:val="0"/>
              </w:rPr>
              <w:t xml:space="preserve">Reading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1">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1</w:t>
            </w:r>
          </w:p>
        </w:tc>
        <w:tc>
          <w:tcPr>
            <w:vAlign w:val="center"/>
          </w:tcPr>
          <w:p w:rsidR="00000000" w:rsidDel="00000000" w:rsidP="00000000" w:rsidRDefault="00000000" w:rsidRPr="00000000" w14:paraId="00000052">
            <w:pPr>
              <w:jc w:val="center"/>
              <w:rPr/>
            </w:pPr>
            <w:r w:rsidDel="00000000" w:rsidR="00000000" w:rsidRPr="00000000">
              <w:rPr>
                <w:rtl w:val="0"/>
              </w:rPr>
              <w:t xml:space="preserve">7/1-6</w:t>
            </w:r>
          </w:p>
          <w:p w:rsidR="00000000" w:rsidDel="00000000" w:rsidP="00000000" w:rsidRDefault="00000000" w:rsidRPr="00000000" w14:paraId="00000053">
            <w:pPr>
              <w:jc w:val="center"/>
              <w:rPr/>
            </w:pPr>
            <w:r w:rsidDel="00000000" w:rsidR="00000000" w:rsidRPr="00000000">
              <w:rPr>
                <w:rtl w:val="0"/>
              </w:rPr>
            </w:r>
          </w:p>
        </w:tc>
        <w:tc>
          <w:tcPr>
            <w:vAlign w:val="center"/>
          </w:tcPr>
          <w:p w:rsidR="00000000" w:rsidDel="00000000" w:rsidP="00000000" w:rsidRDefault="00000000" w:rsidRPr="00000000" w14:paraId="00000054">
            <w:pPr>
              <w:jc w:val="center"/>
              <w:rPr>
                <w:rFonts w:ascii="Sorts Mill Goudy" w:cs="Sorts Mill Goudy" w:eastAsia="Sorts Mill Goudy" w:hAnsi="Sorts Mill Goudy"/>
                <w:sz w:val="24"/>
                <w:szCs w:val="24"/>
              </w:rPr>
            </w:pPr>
            <w:r w:rsidDel="00000000" w:rsidR="00000000" w:rsidRPr="00000000">
              <w:rPr>
                <w:sz w:val="20"/>
                <w:szCs w:val="20"/>
                <w:rtl w:val="0"/>
              </w:rPr>
              <w:t xml:space="preserve">Introduction to Modernity</w:t>
            </w:r>
            <w:r w:rsidDel="00000000" w:rsidR="00000000" w:rsidRPr="00000000">
              <w:rPr>
                <w:rtl w:val="0"/>
              </w:rPr>
            </w:r>
          </w:p>
        </w:tc>
        <w:tc>
          <w:tcPr>
            <w:vAlign w:val="center"/>
          </w:tcPr>
          <w:p w:rsidR="00000000" w:rsidDel="00000000" w:rsidP="00000000" w:rsidRDefault="00000000" w:rsidRPr="00000000" w14:paraId="00000055">
            <w:pPr>
              <w:jc w:val="center"/>
              <w:rPr>
                <w:rFonts w:ascii="Sorts Mill Goudy" w:cs="Sorts Mill Goudy" w:eastAsia="Sorts Mill Goudy" w:hAnsi="Sorts Mill Goudy"/>
                <w:sz w:val="20"/>
                <w:szCs w:val="20"/>
              </w:rPr>
            </w:pPr>
            <w:r w:rsidDel="00000000" w:rsidR="00000000" w:rsidRPr="00000000">
              <w:rPr>
                <w:sz w:val="20"/>
                <w:szCs w:val="20"/>
                <w:rtl w:val="0"/>
              </w:rPr>
              <w:t xml:space="preserve">Minich, 1-66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2</w:t>
            </w:r>
          </w:p>
        </w:tc>
        <w:tc>
          <w:tcPr>
            <w:vAlign w:val="center"/>
          </w:tcPr>
          <w:p w:rsidR="00000000" w:rsidDel="00000000" w:rsidP="00000000" w:rsidRDefault="00000000" w:rsidRPr="00000000" w14:paraId="00000057">
            <w:pPr>
              <w:jc w:val="center"/>
              <w:rPr/>
            </w:pPr>
            <w:r w:rsidDel="00000000" w:rsidR="00000000" w:rsidRPr="00000000">
              <w:rPr>
                <w:rtl w:val="0"/>
              </w:rPr>
              <w:t xml:space="preserve">7/8-13</w:t>
            </w:r>
          </w:p>
          <w:p w:rsidR="00000000" w:rsidDel="00000000" w:rsidP="00000000" w:rsidRDefault="00000000" w:rsidRPr="00000000" w14:paraId="00000058">
            <w:pPr>
              <w:jc w:val="center"/>
              <w:rPr/>
            </w:pPr>
            <w:r w:rsidDel="00000000" w:rsidR="00000000" w:rsidRPr="00000000">
              <w:rPr>
                <w:rtl w:val="0"/>
              </w:rPr>
            </w:r>
          </w:p>
        </w:tc>
        <w:tc>
          <w:tcPr>
            <w:vAlign w:val="center"/>
          </w:tcPr>
          <w:p w:rsidR="00000000" w:rsidDel="00000000" w:rsidP="00000000" w:rsidRDefault="00000000" w:rsidRPr="00000000" w14:paraId="00000059">
            <w:pPr>
              <w:jc w:val="center"/>
              <w:rPr>
                <w:rFonts w:ascii="Sorts Mill Goudy" w:cs="Sorts Mill Goudy" w:eastAsia="Sorts Mill Goudy" w:hAnsi="Sorts Mill Goudy"/>
                <w:sz w:val="20"/>
                <w:szCs w:val="20"/>
              </w:rPr>
            </w:pPr>
            <w:r w:rsidDel="00000000" w:rsidR="00000000" w:rsidRPr="00000000">
              <w:rPr>
                <w:sz w:val="20"/>
                <w:szCs w:val="20"/>
                <w:rtl w:val="0"/>
              </w:rPr>
              <w:t xml:space="preserve">The Institutions of Modernity</w:t>
            </w:r>
            <w:r w:rsidDel="00000000" w:rsidR="00000000" w:rsidRPr="00000000">
              <w:rPr>
                <w:rtl w:val="0"/>
              </w:rPr>
            </w:r>
          </w:p>
        </w:tc>
        <w:tc>
          <w:tcPr>
            <w:vAlign w:val="center"/>
          </w:tcPr>
          <w:p w:rsidR="00000000" w:rsidDel="00000000" w:rsidP="00000000" w:rsidRDefault="00000000" w:rsidRPr="00000000" w14:paraId="0000005A">
            <w:pPr>
              <w:jc w:val="center"/>
              <w:rPr>
                <w:rFonts w:ascii="Sorts Mill Goudy" w:cs="Sorts Mill Goudy" w:eastAsia="Sorts Mill Goudy" w:hAnsi="Sorts Mill Goudy"/>
                <w:sz w:val="20"/>
                <w:szCs w:val="20"/>
              </w:rPr>
            </w:pPr>
            <w:r w:rsidDel="00000000" w:rsidR="00000000" w:rsidRPr="00000000">
              <w:rPr>
                <w:sz w:val="20"/>
                <w:szCs w:val="20"/>
                <w:rtl w:val="0"/>
              </w:rPr>
              <w:t xml:space="preserve">Giddens, 1-78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B">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3</w:t>
            </w:r>
          </w:p>
        </w:tc>
        <w:tc>
          <w:tcPr>
            <w:vAlign w:val="center"/>
          </w:tcPr>
          <w:p w:rsidR="00000000" w:rsidDel="00000000" w:rsidP="00000000" w:rsidRDefault="00000000" w:rsidRPr="00000000" w14:paraId="0000005C">
            <w:pPr>
              <w:jc w:val="left"/>
              <w:rPr/>
            </w:pPr>
            <w:r w:rsidDel="00000000" w:rsidR="00000000" w:rsidRPr="00000000">
              <w:rPr>
                <w:rtl w:val="0"/>
              </w:rPr>
              <w:t xml:space="preserve">           7/15-20</w:t>
            </w:r>
          </w:p>
          <w:p w:rsidR="00000000" w:rsidDel="00000000" w:rsidP="00000000" w:rsidRDefault="00000000" w:rsidRPr="00000000" w14:paraId="0000005D">
            <w:pPr>
              <w:jc w:val="center"/>
              <w:rPr/>
            </w:pPr>
            <w:r w:rsidDel="00000000" w:rsidR="00000000" w:rsidRPr="00000000">
              <w:rPr>
                <w:rtl w:val="0"/>
              </w:rPr>
            </w:r>
          </w:p>
        </w:tc>
        <w:tc>
          <w:tcPr>
            <w:vAlign w:val="center"/>
          </w:tcPr>
          <w:p w:rsidR="00000000" w:rsidDel="00000000" w:rsidP="00000000" w:rsidRDefault="00000000" w:rsidRPr="00000000" w14:paraId="0000005E">
            <w:pPr>
              <w:jc w:val="center"/>
              <w:rPr>
                <w:rFonts w:ascii="Sorts Mill Goudy" w:cs="Sorts Mill Goudy" w:eastAsia="Sorts Mill Goudy" w:hAnsi="Sorts Mill Goudy"/>
                <w:sz w:val="20"/>
                <w:szCs w:val="20"/>
              </w:rPr>
            </w:pPr>
            <w:r w:rsidDel="00000000" w:rsidR="00000000" w:rsidRPr="00000000">
              <w:rPr>
                <w:sz w:val="20"/>
                <w:szCs w:val="20"/>
                <w:rtl w:val="0"/>
              </w:rPr>
              <w:t xml:space="preserve">Modernity and Communal Trust</w:t>
            </w:r>
            <w:r w:rsidDel="00000000" w:rsidR="00000000" w:rsidRPr="00000000">
              <w:rPr>
                <w:rtl w:val="0"/>
              </w:rPr>
            </w:r>
          </w:p>
        </w:tc>
        <w:tc>
          <w:tcPr>
            <w:vAlign w:val="center"/>
          </w:tcPr>
          <w:p w:rsidR="00000000" w:rsidDel="00000000" w:rsidP="00000000" w:rsidRDefault="00000000" w:rsidRPr="00000000" w14:paraId="0000005F">
            <w:pPr>
              <w:jc w:val="center"/>
              <w:rPr>
                <w:rFonts w:ascii="Sorts Mill Goudy" w:cs="Sorts Mill Goudy" w:eastAsia="Sorts Mill Goudy" w:hAnsi="Sorts Mill Goudy"/>
                <w:sz w:val="20"/>
                <w:szCs w:val="20"/>
              </w:rPr>
            </w:pPr>
            <w:r w:rsidDel="00000000" w:rsidR="00000000" w:rsidRPr="00000000">
              <w:rPr>
                <w:sz w:val="20"/>
                <w:szCs w:val="20"/>
                <w:rtl w:val="0"/>
              </w:rPr>
              <w:t xml:space="preserve">Giddens, 79-178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4</w:t>
            </w:r>
          </w:p>
        </w:tc>
        <w:tc>
          <w:tcPr>
            <w:vAlign w:val="center"/>
          </w:tcPr>
          <w:p w:rsidR="00000000" w:rsidDel="00000000" w:rsidP="00000000" w:rsidRDefault="00000000" w:rsidRPr="00000000" w14:paraId="00000061">
            <w:pPr>
              <w:jc w:val="center"/>
              <w:rPr/>
            </w:pPr>
            <w:r w:rsidDel="00000000" w:rsidR="00000000" w:rsidRPr="00000000">
              <w:rPr>
                <w:rtl w:val="0"/>
              </w:rPr>
              <w:t xml:space="preserve">7/22-27</w:t>
            </w:r>
          </w:p>
          <w:p w:rsidR="00000000" w:rsidDel="00000000" w:rsidP="00000000" w:rsidRDefault="00000000" w:rsidRPr="00000000" w14:paraId="00000062">
            <w:pPr>
              <w:jc w:val="center"/>
              <w:rPr/>
            </w:pPr>
            <w:r w:rsidDel="00000000" w:rsidR="00000000" w:rsidRPr="00000000">
              <w:rPr>
                <w:rtl w:val="0"/>
              </w:rPr>
            </w:r>
          </w:p>
        </w:tc>
        <w:tc>
          <w:tcPr>
            <w:vAlign w:val="center"/>
          </w:tcPr>
          <w:p w:rsidR="00000000" w:rsidDel="00000000" w:rsidP="00000000" w:rsidRDefault="00000000" w:rsidRPr="00000000" w14:paraId="00000063">
            <w:pPr>
              <w:jc w:val="center"/>
              <w:rPr>
                <w:rFonts w:ascii="Sorts Mill Goudy" w:cs="Sorts Mill Goudy" w:eastAsia="Sorts Mill Goudy" w:hAnsi="Sorts Mill Goudy"/>
                <w:sz w:val="20"/>
                <w:szCs w:val="20"/>
              </w:rPr>
            </w:pPr>
            <w:r w:rsidDel="00000000" w:rsidR="00000000" w:rsidRPr="00000000">
              <w:rPr>
                <w:sz w:val="20"/>
                <w:szCs w:val="20"/>
                <w:rtl w:val="0"/>
              </w:rPr>
              <w:t xml:space="preserve">What is Modern “Society?”</w:t>
            </w:r>
            <w:r w:rsidDel="00000000" w:rsidR="00000000" w:rsidRPr="00000000">
              <w:rPr>
                <w:rtl w:val="0"/>
              </w:rPr>
            </w:r>
          </w:p>
        </w:tc>
        <w:tc>
          <w:tcPr>
            <w:vAlign w:val="center"/>
          </w:tcPr>
          <w:p w:rsidR="00000000" w:rsidDel="00000000" w:rsidP="00000000" w:rsidRDefault="00000000" w:rsidRPr="00000000" w14:paraId="00000064">
            <w:pPr>
              <w:jc w:val="center"/>
              <w:rPr>
                <w:rFonts w:ascii="Sorts Mill Goudy" w:cs="Sorts Mill Goudy" w:eastAsia="Sorts Mill Goudy" w:hAnsi="Sorts Mill Goudy"/>
                <w:sz w:val="20"/>
                <w:szCs w:val="20"/>
              </w:rPr>
            </w:pPr>
            <w:r w:rsidDel="00000000" w:rsidR="00000000" w:rsidRPr="00000000">
              <w:rPr>
                <w:sz w:val="20"/>
                <w:szCs w:val="20"/>
                <w:rtl w:val="0"/>
              </w:rPr>
              <w:t xml:space="preserve">Taylor, 1-196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5">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5</w:t>
            </w:r>
          </w:p>
        </w:tc>
        <w:tc>
          <w:tcPr>
            <w:vAlign w:val="center"/>
          </w:tcPr>
          <w:p w:rsidR="00000000" w:rsidDel="00000000" w:rsidP="00000000" w:rsidRDefault="00000000" w:rsidRPr="00000000" w14:paraId="00000066">
            <w:pPr>
              <w:jc w:val="center"/>
              <w:rPr/>
            </w:pPr>
            <w:r w:rsidDel="00000000" w:rsidR="00000000" w:rsidRPr="00000000">
              <w:rPr>
                <w:rtl w:val="0"/>
              </w:rPr>
              <w:t xml:space="preserve">7/29-8/3</w:t>
            </w:r>
          </w:p>
          <w:p w:rsidR="00000000" w:rsidDel="00000000" w:rsidP="00000000" w:rsidRDefault="00000000" w:rsidRPr="00000000" w14:paraId="00000067">
            <w:pPr>
              <w:jc w:val="center"/>
              <w:rPr/>
            </w:pPr>
            <w:r w:rsidDel="00000000" w:rsidR="00000000" w:rsidRPr="00000000">
              <w:rPr>
                <w:rtl w:val="0"/>
              </w:rPr>
            </w:r>
          </w:p>
        </w:tc>
        <w:tc>
          <w:tcPr>
            <w:vAlign w:val="center"/>
          </w:tcPr>
          <w:p w:rsidR="00000000" w:rsidDel="00000000" w:rsidP="00000000" w:rsidRDefault="00000000" w:rsidRPr="00000000" w14:paraId="00000068">
            <w:pPr>
              <w:jc w:val="center"/>
              <w:rPr>
                <w:rFonts w:ascii="Sorts Mill Goudy" w:cs="Sorts Mill Goudy" w:eastAsia="Sorts Mill Goudy" w:hAnsi="Sorts Mill Goudy"/>
                <w:sz w:val="20"/>
                <w:szCs w:val="20"/>
              </w:rPr>
            </w:pPr>
            <w:r w:rsidDel="00000000" w:rsidR="00000000" w:rsidRPr="00000000">
              <w:rPr>
                <w:sz w:val="20"/>
                <w:szCs w:val="20"/>
                <w:rtl w:val="0"/>
              </w:rPr>
              <w:t xml:space="preserve">Modernity, Labor, and Technology</w:t>
            </w:r>
            <w:r w:rsidDel="00000000" w:rsidR="00000000" w:rsidRPr="00000000">
              <w:rPr>
                <w:rtl w:val="0"/>
              </w:rPr>
            </w:r>
          </w:p>
        </w:tc>
        <w:tc>
          <w:tcPr>
            <w:vAlign w:val="center"/>
          </w:tcPr>
          <w:p w:rsidR="00000000" w:rsidDel="00000000" w:rsidP="00000000" w:rsidRDefault="00000000" w:rsidRPr="00000000" w14:paraId="00000069">
            <w:pPr>
              <w:jc w:val="center"/>
              <w:rPr>
                <w:rFonts w:ascii="Sorts Mill Goudy" w:cs="Sorts Mill Goudy" w:eastAsia="Sorts Mill Goudy" w:hAnsi="Sorts Mill Goudy"/>
                <w:sz w:val="20"/>
                <w:szCs w:val="20"/>
              </w:rPr>
            </w:pPr>
            <w:r w:rsidDel="00000000" w:rsidR="00000000" w:rsidRPr="00000000">
              <w:rPr>
                <w:sz w:val="20"/>
                <w:szCs w:val="20"/>
                <w:rtl w:val="0"/>
              </w:rPr>
              <w:t xml:space="preserve">Marx, 1-10; Heidegger, 311-41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6</w:t>
            </w:r>
          </w:p>
        </w:tc>
        <w:tc>
          <w:tcPr>
            <w:vAlign w:val="center"/>
          </w:tcPr>
          <w:p w:rsidR="00000000" w:rsidDel="00000000" w:rsidP="00000000" w:rsidRDefault="00000000" w:rsidRPr="00000000" w14:paraId="0000006B">
            <w:pPr>
              <w:jc w:val="center"/>
              <w:rPr/>
            </w:pPr>
            <w:r w:rsidDel="00000000" w:rsidR="00000000" w:rsidRPr="00000000">
              <w:rPr>
                <w:rtl w:val="0"/>
              </w:rPr>
              <w:t xml:space="preserve">8/5-10</w:t>
            </w:r>
          </w:p>
          <w:p w:rsidR="00000000" w:rsidDel="00000000" w:rsidP="00000000" w:rsidRDefault="00000000" w:rsidRPr="00000000" w14:paraId="0000006C">
            <w:pPr>
              <w:jc w:val="center"/>
              <w:rPr/>
            </w:pPr>
            <w:r w:rsidDel="00000000" w:rsidR="00000000" w:rsidRPr="00000000">
              <w:rPr>
                <w:rtl w:val="0"/>
              </w:rPr>
            </w:r>
          </w:p>
        </w:tc>
        <w:tc>
          <w:tcPr>
            <w:vAlign w:val="center"/>
          </w:tcPr>
          <w:p w:rsidR="00000000" w:rsidDel="00000000" w:rsidP="00000000" w:rsidRDefault="00000000" w:rsidRPr="00000000" w14:paraId="0000006D">
            <w:pPr>
              <w:jc w:val="center"/>
              <w:rPr>
                <w:rFonts w:ascii="Sorts Mill Goudy" w:cs="Sorts Mill Goudy" w:eastAsia="Sorts Mill Goudy" w:hAnsi="Sorts Mill Goudy"/>
                <w:sz w:val="20"/>
                <w:szCs w:val="20"/>
              </w:rPr>
            </w:pPr>
            <w:r w:rsidDel="00000000" w:rsidR="00000000" w:rsidRPr="00000000">
              <w:rPr>
                <w:sz w:val="20"/>
                <w:szCs w:val="20"/>
                <w:rtl w:val="0"/>
              </w:rPr>
              <w:t xml:space="preserve">Modernity and Secularization</w:t>
            </w:r>
            <w:r w:rsidDel="00000000" w:rsidR="00000000" w:rsidRPr="00000000">
              <w:rPr>
                <w:rtl w:val="0"/>
              </w:rPr>
            </w:r>
          </w:p>
        </w:tc>
        <w:tc>
          <w:tcPr>
            <w:vAlign w:val="center"/>
          </w:tcPr>
          <w:p w:rsidR="00000000" w:rsidDel="00000000" w:rsidP="00000000" w:rsidRDefault="00000000" w:rsidRPr="00000000" w14:paraId="0000006E">
            <w:pPr>
              <w:jc w:val="center"/>
              <w:rPr>
                <w:rFonts w:ascii="Sorts Mill Goudy" w:cs="Sorts Mill Goudy" w:eastAsia="Sorts Mill Goudy" w:hAnsi="Sorts Mill Goudy"/>
                <w:sz w:val="20"/>
                <w:szCs w:val="20"/>
              </w:rPr>
            </w:pPr>
            <w:r w:rsidDel="00000000" w:rsidR="00000000" w:rsidRPr="00000000">
              <w:rPr>
                <w:sz w:val="20"/>
                <w:szCs w:val="20"/>
                <w:rtl w:val="0"/>
              </w:rPr>
              <w:t xml:space="preserve">Minich, 67-180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F">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7</w:t>
            </w:r>
          </w:p>
        </w:tc>
        <w:tc>
          <w:tcPr>
            <w:vAlign w:val="center"/>
          </w:tcPr>
          <w:p w:rsidR="00000000" w:rsidDel="00000000" w:rsidP="00000000" w:rsidRDefault="00000000" w:rsidRPr="00000000" w14:paraId="00000070">
            <w:pPr>
              <w:jc w:val="center"/>
              <w:rPr/>
            </w:pPr>
            <w:r w:rsidDel="00000000" w:rsidR="00000000" w:rsidRPr="00000000">
              <w:rPr>
                <w:rtl w:val="0"/>
              </w:rPr>
              <w:t xml:space="preserve">8/12-17</w:t>
            </w:r>
          </w:p>
          <w:p w:rsidR="00000000" w:rsidDel="00000000" w:rsidP="00000000" w:rsidRDefault="00000000" w:rsidRPr="00000000" w14:paraId="00000071">
            <w:pPr>
              <w:jc w:val="center"/>
              <w:rPr/>
            </w:pPr>
            <w:r w:rsidDel="00000000" w:rsidR="00000000" w:rsidRPr="00000000">
              <w:rPr>
                <w:rtl w:val="0"/>
              </w:rPr>
            </w:r>
          </w:p>
        </w:tc>
        <w:tc>
          <w:tcPr>
            <w:vAlign w:val="center"/>
          </w:tcPr>
          <w:p w:rsidR="00000000" w:rsidDel="00000000" w:rsidP="00000000" w:rsidRDefault="00000000" w:rsidRPr="00000000" w14:paraId="00000072">
            <w:pPr>
              <w:jc w:val="center"/>
              <w:rPr>
                <w:rFonts w:ascii="Sorts Mill Goudy" w:cs="Sorts Mill Goudy" w:eastAsia="Sorts Mill Goudy" w:hAnsi="Sorts Mill Goudy"/>
                <w:sz w:val="20"/>
                <w:szCs w:val="20"/>
              </w:rPr>
            </w:pPr>
            <w:r w:rsidDel="00000000" w:rsidR="00000000" w:rsidRPr="00000000">
              <w:rPr>
                <w:sz w:val="20"/>
                <w:szCs w:val="20"/>
                <w:rtl w:val="0"/>
              </w:rPr>
              <w:t xml:space="preserve">Late Modern Culture &amp; the Internet</w:t>
            </w:r>
            <w:r w:rsidDel="00000000" w:rsidR="00000000" w:rsidRPr="00000000">
              <w:rPr>
                <w:rtl w:val="0"/>
              </w:rPr>
            </w:r>
          </w:p>
        </w:tc>
        <w:tc>
          <w:tcPr>
            <w:vAlign w:val="center"/>
          </w:tcPr>
          <w:p w:rsidR="00000000" w:rsidDel="00000000" w:rsidP="00000000" w:rsidRDefault="00000000" w:rsidRPr="00000000" w14:paraId="00000073">
            <w:pPr>
              <w:jc w:val="center"/>
              <w:rPr>
                <w:rFonts w:ascii="Sorts Mill Goudy" w:cs="Sorts Mill Goudy" w:eastAsia="Sorts Mill Goudy" w:hAnsi="Sorts Mill Goudy"/>
                <w:sz w:val="20"/>
                <w:szCs w:val="20"/>
              </w:rPr>
            </w:pPr>
            <w:r w:rsidDel="00000000" w:rsidR="00000000" w:rsidRPr="00000000">
              <w:rPr>
                <w:sz w:val="20"/>
                <w:szCs w:val="20"/>
                <w:rtl w:val="0"/>
              </w:rPr>
              <w:t xml:space="preserve">Sacasas, 1-24; Crawford, 1-20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jc w:val="center"/>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sz w:val="24"/>
                <w:szCs w:val="24"/>
                <w:rtl w:val="0"/>
              </w:rPr>
              <w:t xml:space="preserve">8</w:t>
            </w:r>
          </w:p>
        </w:tc>
        <w:tc>
          <w:tcPr>
            <w:vAlign w:val="center"/>
          </w:tcPr>
          <w:p w:rsidR="00000000" w:rsidDel="00000000" w:rsidP="00000000" w:rsidRDefault="00000000" w:rsidRPr="00000000" w14:paraId="00000075">
            <w:pPr>
              <w:jc w:val="center"/>
              <w:rPr/>
            </w:pPr>
            <w:r w:rsidDel="00000000" w:rsidR="00000000" w:rsidRPr="00000000">
              <w:rPr>
                <w:rtl w:val="0"/>
              </w:rPr>
              <w:t xml:space="preserve">8/19-24</w:t>
            </w:r>
          </w:p>
          <w:p w:rsidR="00000000" w:rsidDel="00000000" w:rsidP="00000000" w:rsidRDefault="00000000" w:rsidRPr="00000000" w14:paraId="00000076">
            <w:pPr>
              <w:jc w:val="center"/>
              <w:rPr/>
            </w:pPr>
            <w:r w:rsidDel="00000000" w:rsidR="00000000" w:rsidRPr="00000000">
              <w:rPr>
                <w:rtl w:val="0"/>
              </w:rPr>
            </w:r>
          </w:p>
        </w:tc>
        <w:tc>
          <w:tcPr>
            <w:vAlign w:val="center"/>
          </w:tcPr>
          <w:p w:rsidR="00000000" w:rsidDel="00000000" w:rsidP="00000000" w:rsidRDefault="00000000" w:rsidRPr="00000000" w14:paraId="00000077">
            <w:pPr>
              <w:jc w:val="center"/>
              <w:rPr>
                <w:rFonts w:ascii="Sorts Mill Goudy" w:cs="Sorts Mill Goudy" w:eastAsia="Sorts Mill Goudy" w:hAnsi="Sorts Mill Goudy"/>
                <w:sz w:val="20"/>
                <w:szCs w:val="20"/>
              </w:rPr>
            </w:pPr>
            <w:r w:rsidDel="00000000" w:rsidR="00000000" w:rsidRPr="00000000">
              <w:rPr>
                <w:sz w:val="20"/>
                <w:szCs w:val="20"/>
                <w:rtl w:val="0"/>
              </w:rPr>
              <w:t xml:space="preserve">Modernity &amp; the Future</w:t>
            </w:r>
            <w:r w:rsidDel="00000000" w:rsidR="00000000" w:rsidRPr="00000000">
              <w:rPr>
                <w:rtl w:val="0"/>
              </w:rPr>
            </w:r>
          </w:p>
        </w:tc>
        <w:tc>
          <w:tcPr>
            <w:vAlign w:val="center"/>
          </w:tcPr>
          <w:p w:rsidR="00000000" w:rsidDel="00000000" w:rsidP="00000000" w:rsidRDefault="00000000" w:rsidRPr="00000000" w14:paraId="00000078">
            <w:pPr>
              <w:jc w:val="center"/>
              <w:rPr>
                <w:rFonts w:ascii="Sorts Mill Goudy" w:cs="Sorts Mill Goudy" w:eastAsia="Sorts Mill Goudy" w:hAnsi="Sorts Mill Goudy"/>
                <w:sz w:val="20"/>
                <w:szCs w:val="20"/>
              </w:rPr>
            </w:pPr>
            <w:r w:rsidDel="00000000" w:rsidR="00000000" w:rsidRPr="00000000">
              <w:rPr>
                <w:sz w:val="20"/>
                <w:szCs w:val="20"/>
                <w:rtl w:val="0"/>
              </w:rPr>
              <w:t xml:space="preserve">Minich, 181-274</w:t>
            </w: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Sorts Mill Goudy">
    <w:embedRegular w:fontKey="{00000000-0000-0000-0000-000000000000}" r:id="rId1" w:subsetted="0"/>
    <w:embe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rts Mill Goudy" w:cs="Sorts Mill Goudy" w:eastAsia="Sorts Mill Goudy" w:hAnsi="Sorts Mill Goudy"/>
        <w:sz w:val="24"/>
        <w:szCs w:val="24"/>
        <w:lang w:val="en-U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20" w:before="400" w:line="276" w:lineRule="auto"/>
    </w:pPr>
    <w:rPr>
      <w:b w:val="1"/>
      <w:sz w:val="26"/>
      <w:szCs w:val="26"/>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71E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697C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E0BB8"/>
    <w:rPr>
      <w:color w:val="0563c1" w:themeColor="hyperlink"/>
      <w:u w:val="single"/>
    </w:rPr>
  </w:style>
  <w:style w:type="character" w:styleId="UnresolvedMention">
    <w:name w:val="Unresolved Mention"/>
    <w:basedOn w:val="DefaultParagraphFont"/>
    <w:uiPriority w:val="99"/>
    <w:semiHidden w:val="1"/>
    <w:unhideWhenUsed w:val="1"/>
    <w:rsid w:val="00EE0BB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thiele@davenantinstitute.org" TargetMode="External"/><Relationship Id="rId9" Type="http://schemas.openxmlformats.org/officeDocument/2006/relationships/hyperlink" Target="https://davenanthall.com/pastoral-trac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 TargetMode="External"/><Relationship Id="rId8" Type="http://schemas.openxmlformats.org/officeDocument/2006/relationships/hyperlink" Target="https://classroom.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vweCR7qiaQuZVCmFzSgZ9X5Itg==">CgMxLjAyDmguOXlodWRtdDAydnVqMg5oLjFrdmp0YnA4Y25qdTINaC5laXhwZHh3enJkYjIOaC5jMWt4dXVmYW1heXMyDmguaTE2dmJla3p6ZXI1Mg5oLmV3N2c5ajQxcW0yMjIOaC44eWJ2ZGJvbTlhZmgyDmguZDRtbWF1dG9kbWxuOAByITEwQ19jaThzcjRKMDlIVERXNnFjZEwwZ1hINFlmbmZleg==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2022-07-16T21:18:00Z</dcterms:created>
  <dc:creator>William Littlejohn</dc:creator>
</cp:coreProperties>
</file>